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7E" w:rsidRPr="00AA437E" w:rsidRDefault="00AA437E" w:rsidP="00AA437E">
      <w:pPr>
        <w:jc w:val="both"/>
        <w:rPr>
          <w:rFonts w:ascii="Times New Roman" w:hAnsi="Times New Roman" w:cs="Times New Roman"/>
          <w:b/>
          <w:sz w:val="28"/>
          <w:szCs w:val="28"/>
          <w:lang w:val="de-DE"/>
        </w:rPr>
      </w:pPr>
      <w:r w:rsidRPr="00AA437E">
        <w:rPr>
          <w:rFonts w:ascii="Times New Roman" w:hAnsi="Times New Roman" w:cs="Times New Roman"/>
          <w:b/>
          <w:sz w:val="28"/>
          <w:szCs w:val="28"/>
          <w:lang w:val="de-DE"/>
        </w:rPr>
        <w:t>Delinquentes Verhalten Jugendlicher</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aus sozialwissenschaftlicher Sicht</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Jugendliche Delinquenz wird unter den folgenden Gesichtspunkten beleuchtet:</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 Begriffsbestimmungen</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 Vorkommen</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 Ursachen</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 gesellschaftliche Reaktionen.</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Definitionen</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Als „auffällig”, „deviant“, „dissozial“, „verwahrlost“, „delinquent“ oder „kriminell“ werden Verhaltensweisen benannt, die</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innerhalb eines bestimmten sozialen Systems zu einem bestimmten Zeitpunkt als so unerwünscht gelten, dass Gegenmaßnahmen für notwendig erachtet werden, insbesondere</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dann, wenn diese Verhaltensweisen wiederholt auftreten. In</w:t>
      </w:r>
      <w:r>
        <w:rPr>
          <w:rFonts w:ascii="Times New Roman" w:hAnsi="Times New Roman" w:cs="Times New Roman"/>
          <w:sz w:val="28"/>
          <w:szCs w:val="28"/>
        </w:rPr>
        <w:t xml:space="preserve"> </w:t>
      </w:r>
      <w:r w:rsidRPr="00AA437E">
        <w:rPr>
          <w:rFonts w:ascii="Times New Roman" w:hAnsi="Times New Roman" w:cs="Times New Roman"/>
          <w:sz w:val="28"/>
          <w:szCs w:val="28"/>
          <w:lang w:val="de-DE"/>
        </w:rPr>
        <w:t>den neueren psychiatrischen Klassifikationen (DSM-III-R,</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ICD-10) werden sie unter dem Oberbegriff “Störungen des Sozialverhaltens» zusammengefasst.</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Die oben genannten Begriffe sind unterschiedlich definiert</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worden, SPECHT (1985, 277) grenzt sie folgendermaßen gegeneinander ab: Als auffällig werden solche Verhaltensweisen bezeichnet, die den Erwartungen maßgeblicher Bezugspartner</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oder -gruppen entgegenstehen, so dass aufgrund subjektiver</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Einschätzungen Reaktionen darauf erfolgen. Die Benennung</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als abweichend (</w:t>
      </w:r>
      <w:proofErr w:type="spellStart"/>
      <w:r w:rsidRPr="00AA437E">
        <w:rPr>
          <w:rFonts w:ascii="Times New Roman" w:hAnsi="Times New Roman" w:cs="Times New Roman"/>
          <w:sz w:val="28"/>
          <w:szCs w:val="28"/>
          <w:lang w:val="de-DE"/>
        </w:rPr>
        <w:t>nonkonfrom</w:t>
      </w:r>
      <w:proofErr w:type="spellEnd"/>
      <w:r w:rsidRPr="00AA437E">
        <w:rPr>
          <w:rFonts w:ascii="Times New Roman" w:hAnsi="Times New Roman" w:cs="Times New Roman"/>
          <w:sz w:val="28"/>
          <w:szCs w:val="28"/>
          <w:lang w:val="de-DE"/>
        </w:rPr>
        <w:t>, deviant) gilt denjenigen Verhaltensweisen, die in der Meinung der Mehrheit einer Bevölkerung als unerwünscht missbilligt werden. Der Begriff verwahrlost hat seine ursprüngliche Bedeutung — das ungenügende</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Bewahren eines Kindes — eingebüßt und hat heute eine so</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stark abwertende Qualität erhalten, dass er nicht mehr verwendet werden sollte. Nach HARTMANN (1977) bezieht er sich auf</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überdauernde und generalisierte Abweichungen von der sozialen Norm. Dissozial werden die Verhaltensweisen genannt, die</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als schädlich für die soziale Gemeinschaft beurteilt werden,</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und für die ein Eingreifen für notwendig erachtet wird. Delinquent sind Verhaltensweisen, die von den offiziellen Kontrollinstanzen verfolgt werden, unabhängig davon, ob Gesetze dafür eine Bestrafung vorsehen oder nicht. Als kriminell gelten</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diejenigen Handlungen, die nach den Gesetzen mit Strafe bedroht sind.</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Trennt man in dieser Weise zwischen „delinquent“ und „kriminell“, so können dissoziale Handlungen nicht strafmündiger</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Kinder und Jugendlicher, auf die die Strafvorschriften nicht</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angewandt werden, allenfalls als „delinquent“ und nicht als</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lastRenderedPageBreak/>
        <w:t>„kriminell“ bezeichnet werden. Als „delinquent“ sollte man</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aber nur einzelne Verhaltensweisen charakterisieren, nicht jedoch generalisierend ein Kind oder einen Jugendlichen als solchen. Nicht seine Person als Ganze ist abweichend, sondern</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einzelne Handlungen sind es. Auch sollte man nicht aus dem</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Gedächtnis verlieren, dass die Definition einer Handlung als</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„abweichend“ von sozialen Bewertungsprozessen abhängt, die</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zeit- und kulturgebunden sind. Die gesellschaftlichen Verhältnisse spielen eine Rolle bei der Entscheidung darüber, welcher</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Wertekonsens zugrunde gelegt wird. So stehen Jugendliche mit</w:t>
      </w:r>
      <w:r>
        <w:rPr>
          <w:rFonts w:ascii="Times New Roman" w:hAnsi="Times New Roman" w:cs="Times New Roman"/>
          <w:sz w:val="28"/>
          <w:szCs w:val="28"/>
        </w:rPr>
        <w:t xml:space="preserve"> </w:t>
      </w:r>
      <w:r w:rsidRPr="00AA437E">
        <w:rPr>
          <w:rFonts w:ascii="Times New Roman" w:hAnsi="Times New Roman" w:cs="Times New Roman"/>
          <w:sz w:val="28"/>
          <w:szCs w:val="28"/>
          <w:lang w:val="de-DE"/>
        </w:rPr>
        <w:t>ihren Wertvorstellungen den Wertvorstellungen Erwachsener</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gegenüber. Mädchen den Erwartungen einer männlich dominierten Gesellschaft, Ausländer deutschen Verhaltenserwartungen usw.</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 xml:space="preserve">Aufgaben und Fragen zum Text </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1. Merken Sie sich die Wörter:</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 xml:space="preserve">gelten </w:t>
      </w:r>
      <w:r w:rsidRPr="00AA437E">
        <w:rPr>
          <w:rFonts w:ascii="Times New Roman" w:hAnsi="Times New Roman" w:cs="Times New Roman"/>
          <w:sz w:val="28"/>
          <w:szCs w:val="28"/>
        </w:rPr>
        <w:t>считаться</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 xml:space="preserve">Einschätzung f </w:t>
      </w:r>
      <w:r w:rsidRPr="00AA437E">
        <w:rPr>
          <w:rFonts w:ascii="Times New Roman" w:hAnsi="Times New Roman" w:cs="Times New Roman"/>
          <w:sz w:val="28"/>
          <w:szCs w:val="28"/>
        </w:rPr>
        <w:t>оценка</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 xml:space="preserve">Abweichung f </w:t>
      </w:r>
      <w:r w:rsidRPr="00AA437E">
        <w:rPr>
          <w:rFonts w:ascii="Times New Roman" w:hAnsi="Times New Roman" w:cs="Times New Roman"/>
          <w:sz w:val="28"/>
          <w:szCs w:val="28"/>
        </w:rPr>
        <w:t>отклонение</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 xml:space="preserve">schädlich </w:t>
      </w:r>
      <w:r w:rsidRPr="00AA437E">
        <w:rPr>
          <w:rFonts w:ascii="Times New Roman" w:hAnsi="Times New Roman" w:cs="Times New Roman"/>
          <w:sz w:val="28"/>
          <w:szCs w:val="28"/>
        </w:rPr>
        <w:t>вредный</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 xml:space="preserve">strafmündig </w:t>
      </w:r>
      <w:r w:rsidRPr="00AA437E">
        <w:rPr>
          <w:rFonts w:ascii="Times New Roman" w:hAnsi="Times New Roman" w:cs="Times New Roman"/>
          <w:sz w:val="28"/>
          <w:szCs w:val="28"/>
        </w:rPr>
        <w:t>достигший</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rPr>
        <w:t>возраста</w:t>
      </w:r>
      <w:r w:rsidRPr="00AA437E">
        <w:rPr>
          <w:rFonts w:ascii="Times New Roman" w:hAnsi="Times New Roman" w:cs="Times New Roman"/>
          <w:sz w:val="28"/>
          <w:szCs w:val="28"/>
          <w:lang w:val="de-DE"/>
        </w:rPr>
        <w:t>,</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rPr>
        <w:t>когда</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rPr>
        <w:t>становятся</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rPr>
        <w:t>субъектом</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rPr>
        <w:t>преступления</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2. Lesen Sie den Text “Delinquentes Verhalten der Jugendlichen aus sozialwissenschaftlicher Sicht“ und übersetzen Sie</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ihn.</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3. Nennen Sie alle Begriffe, die im Text definiert werden.</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 xml:space="preserve">4. Definieren Sie den Begriff “Störungen des </w:t>
      </w:r>
      <w:proofErr w:type="spellStart"/>
      <w:r w:rsidRPr="00AA437E">
        <w:rPr>
          <w:rFonts w:ascii="Times New Roman" w:hAnsi="Times New Roman" w:cs="Times New Roman"/>
          <w:sz w:val="28"/>
          <w:szCs w:val="28"/>
          <w:lang w:val="de-DE"/>
        </w:rPr>
        <w:t>Sozialverhaltens</w:t>
      </w:r>
      <w:proofErr w:type="gramStart"/>
      <w:r w:rsidRPr="00AA437E">
        <w:rPr>
          <w:rFonts w:ascii="Times New Roman" w:hAnsi="Times New Roman" w:cs="Times New Roman"/>
          <w:sz w:val="28"/>
          <w:szCs w:val="28"/>
          <w:lang w:val="de-DE"/>
        </w:rPr>
        <w:t>“.Vereinfachen</w:t>
      </w:r>
      <w:proofErr w:type="spellEnd"/>
      <w:proofErr w:type="gramEnd"/>
      <w:r w:rsidRPr="00AA437E">
        <w:rPr>
          <w:rFonts w:ascii="Times New Roman" w:hAnsi="Times New Roman" w:cs="Times New Roman"/>
          <w:sz w:val="28"/>
          <w:szCs w:val="28"/>
          <w:lang w:val="de-DE"/>
        </w:rPr>
        <w:t xml:space="preserve"> Sie die Formulierung des Textes.</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5. Finden Sie in der Tabelle die richtigen Entsprechungen:</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1 auffällig Überdauernde und generalisierte</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Abweichungen von der sozialen Norm</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2 deviant Solche Verhaltensweisen, die</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als schädlich für die soziale Gemeinschaft beurteilt werden. Für sie wird ein</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Eingreifen für notwendig erachtet.</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3 dissozial Solche Verhaltensweisen, die den</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Erwartungen der Bezugspartner oder –</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Gruppen entgegenstehen. Aufgrund</w:t>
      </w:r>
      <w:r>
        <w:rPr>
          <w:rFonts w:ascii="Times New Roman" w:hAnsi="Times New Roman" w:cs="Times New Roman"/>
          <w:sz w:val="28"/>
          <w:szCs w:val="28"/>
        </w:rPr>
        <w:t xml:space="preserve"> </w:t>
      </w:r>
      <w:r w:rsidRPr="00AA437E">
        <w:rPr>
          <w:rFonts w:ascii="Times New Roman" w:hAnsi="Times New Roman" w:cs="Times New Roman"/>
          <w:sz w:val="28"/>
          <w:szCs w:val="28"/>
          <w:lang w:val="de-DE"/>
        </w:rPr>
        <w:t>subjektiver Einschätzungen erfolgen</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darauf Reaktionen.</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lastRenderedPageBreak/>
        <w:t>4 verwahrlost Solche Verhaltensweise, die in der</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Meinung der Mehrheit einer Bevölkerung als unerwünscht missbilligt werden.</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5 delinquent Solche Handlungen, die nach dem Gesetz mit Strafe bedroht sind.</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6 kriminell Solche Verhaltensweisen, die von den</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offiziellen Kontrollinstanzen verfolgt</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werden, unabhängig davon, ob Gesetze</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dafür eine Bestrafung vorsehen oder</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nicht.</w:t>
      </w:r>
    </w:p>
    <w:p w:rsidR="00AA437E"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6. Was unterscheidet den Begriff „delinquent” von dem Begriff</w:t>
      </w:r>
      <w:r w:rsidRPr="00AA437E">
        <w:rPr>
          <w:rFonts w:ascii="Times New Roman" w:hAnsi="Times New Roman" w:cs="Times New Roman"/>
          <w:sz w:val="28"/>
          <w:szCs w:val="28"/>
          <w:lang w:val="de-DE"/>
        </w:rPr>
        <w:t xml:space="preserve"> </w:t>
      </w:r>
      <w:r w:rsidRPr="00AA437E">
        <w:rPr>
          <w:rFonts w:ascii="Times New Roman" w:hAnsi="Times New Roman" w:cs="Times New Roman"/>
          <w:sz w:val="28"/>
          <w:szCs w:val="28"/>
          <w:lang w:val="de-DE"/>
        </w:rPr>
        <w:t>„kriminell”?</w:t>
      </w:r>
    </w:p>
    <w:p w:rsidR="000F4466" w:rsidRPr="00AA437E" w:rsidRDefault="00AA437E" w:rsidP="00AA437E">
      <w:pPr>
        <w:jc w:val="both"/>
        <w:rPr>
          <w:rFonts w:ascii="Times New Roman" w:hAnsi="Times New Roman" w:cs="Times New Roman"/>
          <w:sz w:val="28"/>
          <w:szCs w:val="28"/>
          <w:lang w:val="de-DE"/>
        </w:rPr>
      </w:pPr>
      <w:r w:rsidRPr="00AA437E">
        <w:rPr>
          <w:rFonts w:ascii="Times New Roman" w:hAnsi="Times New Roman" w:cs="Times New Roman"/>
          <w:sz w:val="28"/>
          <w:szCs w:val="28"/>
          <w:lang w:val="de-DE"/>
        </w:rPr>
        <w:t>7. Führen Sie Beispiele aus Ihrer Praxis zu den oben genannten</w:t>
      </w:r>
      <w:r w:rsidRPr="00AA437E">
        <w:rPr>
          <w:rFonts w:ascii="Times New Roman" w:hAnsi="Times New Roman" w:cs="Times New Roman"/>
          <w:sz w:val="28"/>
          <w:szCs w:val="28"/>
          <w:lang w:val="de-DE"/>
        </w:rPr>
        <w:t xml:space="preserve"> </w:t>
      </w:r>
      <w:bookmarkStart w:id="0" w:name="_GoBack"/>
      <w:bookmarkEnd w:id="0"/>
      <w:r w:rsidRPr="00AA437E">
        <w:rPr>
          <w:rFonts w:ascii="Times New Roman" w:hAnsi="Times New Roman" w:cs="Times New Roman"/>
          <w:sz w:val="28"/>
          <w:szCs w:val="28"/>
          <w:lang w:val="de-DE"/>
        </w:rPr>
        <w:t>Begriffen an.</w:t>
      </w:r>
      <w:r w:rsidRPr="00AA437E">
        <w:rPr>
          <w:rFonts w:ascii="Times New Roman" w:hAnsi="Times New Roman" w:cs="Times New Roman"/>
          <w:sz w:val="28"/>
          <w:szCs w:val="28"/>
          <w:lang w:val="de-DE"/>
        </w:rPr>
        <w:cr/>
      </w:r>
    </w:p>
    <w:sectPr w:rsidR="000F4466" w:rsidRPr="00AA437E" w:rsidSect="008F01B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E2"/>
    <w:rsid w:val="000F4466"/>
    <w:rsid w:val="007A631A"/>
    <w:rsid w:val="008F01BB"/>
    <w:rsid w:val="00AA437E"/>
    <w:rsid w:val="00F7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E878"/>
  <w15:chartTrackingRefBased/>
  <w15:docId w15:val="{76A9107D-5836-46CF-ADB6-1D42A1B0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C8EE1-6A1A-40A0-B941-A90AEA5943DE}"/>
</file>

<file path=customXml/itemProps2.xml><?xml version="1.0" encoding="utf-8"?>
<ds:datastoreItem xmlns:ds="http://schemas.openxmlformats.org/officeDocument/2006/customXml" ds:itemID="{A07100A5-7F90-401D-91D6-8DB8522BBF96}"/>
</file>

<file path=customXml/itemProps3.xml><?xml version="1.0" encoding="utf-8"?>
<ds:datastoreItem xmlns:ds="http://schemas.openxmlformats.org/officeDocument/2006/customXml" ds:itemID="{277C8159-5246-4251-AABD-5160B3CBA864}"/>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2023-03-19T18:18:00Z</dcterms:created>
  <dcterms:modified xsi:type="dcterms:W3CDTF">2023-03-19T18:18:00Z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